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pPr>
        <w:spacing w:before="0" w:after="3100" w:line="264" w:lineRule="auto"/>
      </w:pPr>
      <w:r>
        <w:rPr>
          <w:rFonts w:ascii="Arial" w:hAnsi="Arial"/>
          <w:b w:val="0"/>
          <w:i w:val="0"/>
          <w:color w:val="000000"/>
          <w:sz w:val="2"/>
        </w:rPr>
      </w:r>
    </w:p>
    <w:p>
      <w:pPr>
        <w:keepNext/>
        <w:spacing w:before="0" w:after="160" w:line="264" w:lineRule="auto"/>
        <w:jc w:val="center"/>
      </w:pPr>
      <w:r>
        <w:rPr>
          <w:rFonts w:ascii="Arial" w:hAnsi="Arial"/>
          <w:b/>
          <w:i w:val="0"/>
          <w:color w:val="101F82"/>
          <w:sz w:val="48"/>
        </w:rPr>
        <w:t>CHRONOS MIGRATION EXECUTION PLAN</w:t>
      </w:r>
    </w:p>
    <w:p>
      <w:pPr>
        <w:spacing w:before="0" w:after="3000" w:line="264" w:lineRule="auto"/>
        <w:jc w:val="center"/>
      </w:pPr>
      <w:r>
        <w:rPr>
          <w:rFonts w:ascii="Arial" w:hAnsi="Arial"/>
          <w:b/>
          <w:i w:val="0"/>
          <w:color w:val="7D8AEB"/>
          <w:sz w:val="24"/>
        </w:rPr>
        <w:t>Production server renewal, database containerization, deployment automation, and cutover strategy</w:t>
      </w:r>
    </w:p>
    <w:tbl>
      <w:tblPr>
        <w:tblW w:type="dxa" w:w="7128"/>
        <w:jc w:val="center"/>
        <w:tblLayout w:type="fixed"/>
        <w:tblLook w:firstColumn="1" w:firstRow="1" w:lastColumn="0" w:lastRow="0" w:noHBand="0" w:noVBand="1" w:val="04A0"/>
      </w:tblPr>
      <w:tblGrid>
        <w:gridCol w:w="4752"/>
        <w:gridCol w:w="4752"/>
      </w:tblGrid>
      <w:tr>
        <w:tc>
          <w:tcPr>
            <w:tcW w:type="dxa" w:w="1800"/>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color w:val="101F82"/>
                <w:sz w:val="18"/>
              </w:rPr>
              <w:t>Author</w:t>
            </w:r>
          </w:p>
        </w:tc>
        <w:tc>
          <w:tcPr>
            <w:tcW w:type="dxa" w:w="5328"/>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val="0"/>
                <w:color w:val="000000"/>
                <w:sz w:val="18"/>
              </w:rPr>
              <w:t>Chronos migration working draft</w:t>
            </w:r>
          </w:p>
        </w:tc>
      </w:tr>
      <w:tr>
        <w:tc>
          <w:tcPr>
            <w:tcW w:type="dxa" w:w="1800"/>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color w:val="101F82"/>
                <w:sz w:val="18"/>
              </w:rPr>
              <w:t>Team</w:t>
            </w:r>
          </w:p>
        </w:tc>
        <w:tc>
          <w:tcPr>
            <w:tcW w:type="dxa" w:w="5328"/>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val="0"/>
                <w:color w:val="000000"/>
                <w:sz w:val="18"/>
              </w:rPr>
              <w:t>Chronos application and infrastructure</w:t>
            </w:r>
          </w:p>
        </w:tc>
      </w:tr>
      <w:tr>
        <w:tc>
          <w:tcPr>
            <w:tcW w:type="dxa" w:w="1800"/>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color w:val="101F82"/>
                <w:sz w:val="18"/>
              </w:rPr>
              <w:t>Prepared for</w:t>
            </w:r>
          </w:p>
        </w:tc>
        <w:tc>
          <w:tcPr>
            <w:tcW w:type="dxa" w:w="5328"/>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val="0"/>
                <w:color w:val="000000"/>
                <w:sz w:val="18"/>
              </w:rPr>
              <w:t>Technical migration review</w:t>
            </w:r>
          </w:p>
        </w:tc>
      </w:tr>
      <w:tr>
        <w:tc>
          <w:tcPr>
            <w:tcW w:type="dxa" w:w="1800"/>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color w:val="101F82"/>
                <w:sz w:val="18"/>
              </w:rPr>
              <w:t>Date</w:t>
            </w:r>
          </w:p>
        </w:tc>
        <w:tc>
          <w:tcPr>
            <w:tcW w:type="dxa" w:w="5328"/>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val="0"/>
                <w:color w:val="000000"/>
                <w:sz w:val="18"/>
              </w:rPr>
              <w:t>July 10, 2026</w:t>
            </w:r>
          </w:p>
        </w:tc>
      </w:tr>
      <w:tr>
        <w:tc>
          <w:tcPr>
            <w:tcW w:type="dxa" w:w="1800"/>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color w:val="101F82"/>
                <w:sz w:val="18"/>
              </w:rPr>
              <w:t>Status</w:t>
            </w:r>
          </w:p>
        </w:tc>
        <w:tc>
          <w:tcPr>
            <w:tcW w:type="dxa" w:w="5328"/>
            <w:tcMar>
              <w:top w:w="80" w:type="dxa"/>
              <w:start w:w="120" w:type="dxa"/>
              <w:bottom w:w="80" w:type="dxa"/>
              <w:end w:w="120" w:type="dxa"/>
            </w:tcMar>
            <w:vAlign w:val="center"/>
            <w:tcBorders>
              <w:top w:val="nil"/>
              <w:left w:val="nil"/>
              <w:bottom w:val="nil"/>
              <w:right w:val="nil"/>
              <w:insideH w:val="nil"/>
              <w:insideV w:val="nil"/>
            </w:tcBorders>
          </w:tcPr>
          <w:p>
            <w:pPr>
              <w:spacing w:before="0" w:after="0" w:line="252" w:lineRule="auto"/>
            </w:pPr>
            <w:r/>
            <w:r>
              <w:rPr>
                <w:rFonts w:ascii="Arial" w:hAnsi="Arial"/>
                <w:b w:val="0"/>
                <w:color w:val="000000"/>
                <w:sz w:val="18"/>
              </w:rPr>
              <w:t>Draft for discussion</w:t>
            </w:r>
          </w:p>
        </w:tc>
      </w:tr>
    </w:tbl>
    <w:p>
      <w:r>
        <w:br w:type="page"/>
      </w:r>
    </w:p>
    <w:p>
      <w:pPr>
        <w:pStyle w:val="Heading1"/>
        <w:spacing w:before="280" w:after="120" w:line="264" w:lineRule="auto"/>
      </w:pPr>
      <w:r/>
      <w:r>
        <w:rPr>
          <w:rFonts w:ascii="Arial" w:hAnsi="Arial"/>
          <w:b/>
          <w:color w:val="101F82"/>
          <w:sz w:val="30"/>
        </w:rPr>
        <w:t>1. Purpose and Recommendation</w:t>
      </w:r>
    </w:p>
    <w:tbl>
      <w:tblPr>
        <w:tblW w:type="dxa" w:w="8856"/>
        <w:tblLayout w:type="fixed"/>
        <w:tblLook w:firstColumn="1" w:firstRow="1" w:lastColumn="0" w:lastRow="0" w:noHBand="0" w:noVBand="1" w:val="04A0"/>
        <w:jc w:val="center"/>
        <w:tblBorders>
          <w:top w:val="single" w:sz="8" w:space="0" w:color="C9D2FF"/>
          <w:left w:val="single" w:sz="8" w:space="0" w:color="C9D2FF"/>
          <w:bottom w:val="single" w:sz="8" w:space="0" w:color="C9D2FF"/>
          <w:right w:val="single" w:sz="8" w:space="0" w:color="C9D2FF"/>
          <w:insideH w:val="single" w:sz="8" w:space="0" w:color="C9D2FF"/>
          <w:insideV w:val="single" w:sz="8" w:space="0" w:color="C9D2FF"/>
        </w:tblBorders>
      </w:tblPr>
      <w:tblGrid>
        <w:gridCol w:w="9504"/>
      </w:tblGrid>
      <w:tr>
        <w:tc>
          <w:tcPr>
            <w:tcW w:type="dxa" w:w="8856"/>
            <w:shd w:fill="F5F7FF"/>
            <w:tcMar>
              <w:top w:w="120" w:type="dxa"/>
              <w:start w:w="160" w:type="dxa"/>
              <w:bottom w:w="120" w:type="dxa"/>
              <w:end w:w="160" w:type="dxa"/>
            </w:tcMar>
          </w:tcPr>
          <w:p>
            <w:pPr>
              <w:spacing w:before="0" w:after="60" w:line="264" w:lineRule="auto"/>
            </w:pPr>
            <w:r>
              <w:rPr>
                <w:rFonts w:ascii="Arial" w:hAnsi="Arial"/>
                <w:b/>
                <w:color w:val="101F82"/>
                <w:sz w:val="21"/>
              </w:rPr>
              <w:t>Recommended path</w:t>
            </w:r>
          </w:p>
          <w:p>
            <w:pPr>
              <w:spacing w:before="0" w:after="0" w:line="264" w:lineRule="auto"/>
            </w:pPr>
            <w:r>
              <w:rPr>
                <w:rFonts w:ascii="Arial" w:hAnsi="Arial"/>
                <w:color w:val="000000"/>
                <w:sz w:val="20"/>
              </w:rPr>
              <w:t>Prepare a new production server in parallel, move database services into containers, restore a production copy for validation, configure CI/CD for release deployments, and reserve production downtime for the final database sync and traffic switch only.</w:t>
            </w:r>
          </w:p>
        </w:tc>
      </w:tr>
    </w:tbl>
    <w:p>
      <w:pPr>
        <w:spacing w:before="0" w:after="120" w:line="264" w:lineRule="auto"/>
      </w:pPr>
      <w:r>
        <w:rPr>
          <w:rFonts w:ascii="Arial" w:hAnsi="Arial"/>
          <w:b w:val="0"/>
          <w:i w:val="0"/>
          <w:color w:val="000000"/>
          <w:sz w:val="2"/>
        </w:rPr>
      </w:r>
    </w:p>
    <w:p>
      <w:pPr>
        <w:spacing w:before="0" w:after="120" w:line="264" w:lineRule="auto"/>
      </w:pPr>
      <w:r>
        <w:rPr>
          <w:rFonts w:ascii="Arial" w:hAnsi="Arial"/>
          <w:b w:val="0"/>
          <w:i w:val="0"/>
          <w:color w:val="000000"/>
          <w:sz w:val="21"/>
        </w:rPr>
        <w:t>This memo expands the existing Chronos deployment notes into a migration execution plan. It preserves the current technical context: Old Chronos is a monolithic backend and frontend project, New Chronos is split into backend and frontend projects, both production versions currently run on 10.10.10.107, development runs on 10.10.10.106, and the production databases are installed directly on the VMs instead of being containerized.</w:t>
      </w:r>
    </w:p>
    <w:p>
      <w:pPr>
        <w:spacing w:before="0" w:after="120" w:line="264" w:lineRule="auto"/>
      </w:pPr>
      <w:r>
        <w:rPr>
          <w:rFonts w:ascii="Arial" w:hAnsi="Arial"/>
          <w:b w:val="0"/>
          <w:i w:val="0"/>
          <w:color w:val="000000"/>
          <w:sz w:val="21"/>
        </w:rPr>
        <w:t>The objective is not a feature migration. The objective is to renew the production hosting model, reduce operational fragility, introduce repeatable release deployments, and make the final switch with a low downtime window.</w:t>
      </w:r>
    </w:p>
    <w:p>
      <w:pPr>
        <w:numPr>
          <w:ilvl w:val="0"/>
          <w:numId w:val="1"/>
        </w:numPr>
        <w:spacing w:before="0" w:after="80" w:line="264" w:lineRule="auto"/>
        <w:ind w:left="720" w:hanging="360"/>
      </w:pPr>
      <w:r>
        <w:rPr>
          <w:rFonts w:ascii="Arial" w:hAnsi="Arial"/>
          <w:color w:val="000000"/>
          <w:sz w:val="21"/>
        </w:rPr>
        <w:t>Move production away from the outdated 10.10.10.107 host onto a new server that can take its place after cutover.</w:t>
      </w:r>
    </w:p>
    <w:p>
      <w:pPr>
        <w:numPr>
          <w:ilvl w:val="0"/>
          <w:numId w:val="1"/>
        </w:numPr>
        <w:spacing w:before="0" w:after="80" w:line="264" w:lineRule="auto"/>
        <w:ind w:left="720" w:hanging="360"/>
      </w:pPr>
      <w:r>
        <w:rPr>
          <w:rFonts w:ascii="Arial" w:hAnsi="Arial"/>
          <w:color w:val="000000"/>
          <w:sz w:val="21"/>
        </w:rPr>
        <w:t>Run database services as containers on the new server rather than installing them directly on the host.</w:t>
      </w:r>
    </w:p>
    <w:p>
      <w:pPr>
        <w:numPr>
          <w:ilvl w:val="0"/>
          <w:numId w:val="1"/>
        </w:numPr>
        <w:spacing w:before="0" w:after="80" w:line="264" w:lineRule="auto"/>
        <w:ind w:left="720" w:hanging="360"/>
      </w:pPr>
      <w:r>
        <w:rPr>
          <w:rFonts w:ascii="Arial" w:hAnsi="Arial"/>
          <w:color w:val="000000"/>
          <w:sz w:val="21"/>
        </w:rPr>
        <w:t>Preserve the shared content currently under /var/www/html/bo, which behaves like a bucket and is required by both Old Chronos and New Chronos.</w:t>
      </w:r>
    </w:p>
    <w:p>
      <w:pPr>
        <w:numPr>
          <w:ilvl w:val="0"/>
          <w:numId w:val="1"/>
        </w:numPr>
        <w:spacing w:before="0" w:after="80" w:line="264" w:lineRule="auto"/>
        <w:ind w:left="720" w:hanging="360"/>
      </w:pPr>
      <w:r>
        <w:rPr>
          <w:rFonts w:ascii="Arial" w:hAnsi="Arial"/>
          <w:color w:val="000000"/>
          <w:sz w:val="21"/>
        </w:rPr>
        <w:t>Evaluate Garage for managing that bucket-like content if feasible; otherwise keep the current content model intact for the migration.</w:t>
      </w:r>
    </w:p>
    <w:p>
      <w:pPr>
        <w:numPr>
          <w:ilvl w:val="0"/>
          <w:numId w:val="1"/>
        </w:numPr>
        <w:spacing w:before="0" w:after="80" w:line="264" w:lineRule="auto"/>
        <w:ind w:left="720" w:hanging="360"/>
      </w:pPr>
      <w:r>
        <w:rPr>
          <w:rFonts w:ascii="Arial" w:hAnsi="Arial"/>
          <w:color w:val="000000"/>
          <w:sz w:val="21"/>
        </w:rPr>
        <w:t>Introduce GitLab CI/CD release deployments for both Old Chronos and New Chronos using Docker and Dokploy.</w:t>
      </w:r>
    </w:p>
    <w:p>
      <w:pPr>
        <w:pStyle w:val="Heading1"/>
        <w:spacing w:before="280" w:after="120" w:line="264" w:lineRule="auto"/>
      </w:pPr>
      <w:r/>
      <w:r>
        <w:rPr>
          <w:rFonts w:ascii="Arial" w:hAnsi="Arial"/>
          <w:b/>
          <w:color w:val="101F82"/>
          <w:sz w:val="30"/>
        </w:rPr>
        <w:t>2. Current Technical Context</w:t>
      </w:r>
    </w:p>
    <w:tbl>
      <w:tblPr>
        <w:tblW w:type="dxa" w:w="9000"/>
        <w:tblLayout w:type="fixed"/>
        <w:tblLook w:firstColumn="1" w:firstRow="1" w:lastColumn="0" w:lastRow="0" w:noHBand="0" w:noVBand="1" w:val="04A0"/>
        <w:jc w:val="center"/>
        <w:tblBorders>
          <w:top w:val="single" w:sz="6" w:space="0" w:color="D9DEE8"/>
          <w:left w:val="single" w:sz="6" w:space="0" w:color="D9DEE8"/>
          <w:bottom w:val="single" w:sz="6" w:space="0" w:color="D9DEE8"/>
          <w:right w:val="single" w:sz="6" w:space="0" w:color="D9DEE8"/>
          <w:insideH w:val="single" w:sz="6" w:space="0" w:color="D9DEE8"/>
          <w:insideV w:val="single" w:sz="6" w:space="0" w:color="D9DEE8"/>
        </w:tblBorders>
      </w:tblPr>
      <w:tblGrid>
        <w:gridCol w:w="3168"/>
        <w:gridCol w:w="3168"/>
        <w:gridCol w:w="3168"/>
      </w:tblGrid>
      <w:tr>
        <w:tc>
          <w:tcPr>
            <w:tcW w:type="dxa" w:w="2232"/>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Area</w:t>
            </w:r>
          </w:p>
        </w:tc>
        <w:tc>
          <w:tcPr>
            <w:tcW w:type="dxa" w:w="3384"/>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Old Chronos</w:t>
            </w:r>
          </w:p>
        </w:tc>
        <w:tc>
          <w:tcPr>
            <w:tcW w:type="dxa" w:w="3384"/>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New Chronos</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Architecture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Monolithic backend and frontend in the same project.</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Backend and frontend split into separate projects.</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Containerization</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Single application container on the VM.</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Separate backend and frontend containers.</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Development branch</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dev</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development</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Production branch</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release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release</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Development VM</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10.10.10.106</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10.10.10.106</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Production VM</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10.10.10.107</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10.10.10.107</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Development deployment</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Pipeline exists.</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Pipeline exists.</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Production deployment</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Manual deployment from release.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Manual deployment from release.</w:t>
            </w:r>
          </w:p>
        </w:tc>
      </w:tr>
    </w:tbl>
    <w:p>
      <w:pPr>
        <w:spacing w:before="0" w:after="100" w:line="264" w:lineRule="auto"/>
      </w:pPr>
      <w:r>
        <w:rPr>
          <w:rFonts w:ascii="Arial" w:hAnsi="Arial"/>
          <w:b w:val="0"/>
          <w:i w:val="0"/>
          <w:color w:val="000000"/>
          <w:sz w:val="2"/>
        </w:rPr>
      </w:r>
    </w:p>
    <w:p>
      <w:pPr>
        <w:spacing w:before="0" w:after="120" w:line="264" w:lineRule="auto"/>
      </w:pPr>
      <w:r>
        <w:rPr>
          <w:rFonts w:ascii="Arial" w:hAnsi="Arial"/>
          <w:b w:val="0"/>
          <w:i w:val="0"/>
          <w:color w:val="555555"/>
          <w:sz w:val="20"/>
        </w:rPr>
        <w:t>Configuration is also different between the two generations: Old Chronos has hardcoded Java/JS values in ApplicationConfig.java, config.js, and utils.js, while New Chronos uses Spring application.yml/application-prod.yml and Angular environment.dev.ts/environment.prod.ts.</w:t>
      </w:r>
    </w:p>
    <w:p>
      <w:pPr>
        <w:spacing w:before="0" w:after="120" w:line="264" w:lineRule="auto"/>
      </w:pPr>
      <w:r>
        <w:rPr>
          <w:rFonts w:ascii="Arial" w:hAnsi="Arial"/>
          <w:b w:val="0"/>
          <w:i w:val="0"/>
          <w:color w:val="555555"/>
          <w:sz w:val="20"/>
        </w:rPr>
        <w:t>Both Old Chronos and New Chronos use production databases on 10.10.10.107 and development databases on 10.10.10.106. The known schemas include SmartBI, cespiti, db_example, fendi, monitoraggiopodb, pandora, paused, paused_storico, smart, smart_storico, timesheet, and ts_dev_storico.</w:t>
      </w:r>
    </w:p>
    <w:p>
      <w:pPr>
        <w:pStyle w:val="Heading1"/>
        <w:spacing w:before="280" w:after="120" w:line="264" w:lineRule="auto"/>
      </w:pPr>
      <w:r/>
      <w:r>
        <w:rPr>
          <w:rFonts w:ascii="Arial" w:hAnsi="Arial"/>
          <w:b/>
          <w:color w:val="101F82"/>
          <w:sz w:val="30"/>
        </w:rPr>
        <w:t>3. Target Architecture</w:t>
      </w:r>
    </w:p>
    <w:p>
      <w:pPr>
        <w:spacing w:before="0" w:after="120" w:line="264" w:lineRule="auto"/>
      </w:pPr>
      <w:r>
        <w:rPr>
          <w:rFonts w:ascii="Arial" w:hAnsi="Arial"/>
          <w:b w:val="0"/>
          <w:i w:val="0"/>
          <w:color w:val="000000"/>
          <w:sz w:val="21"/>
        </w:rPr>
        <w:t>The target state is a fresh production server that hosts the same Chronos application surface with a more controlled runtime model. Application services remain containerized. Database services move into containers. Deployment becomes CI/CD-driven from release branches rather than manual production work.</w:t>
      </w:r>
    </w:p>
    <w:tbl>
      <w:tblPr>
        <w:tblW w:type="dxa" w:w="9000"/>
        <w:tblLayout w:type="fixed"/>
        <w:tblLook w:firstColumn="1" w:firstRow="1" w:lastColumn="0" w:lastRow="0" w:noHBand="0" w:noVBand="1" w:val="04A0"/>
        <w:jc w:val="center"/>
        <w:tblBorders>
          <w:top w:val="single" w:sz="6" w:space="0" w:color="D9DEE8"/>
          <w:left w:val="single" w:sz="6" w:space="0" w:color="D9DEE8"/>
          <w:bottom w:val="single" w:sz="6" w:space="0" w:color="D9DEE8"/>
          <w:right w:val="single" w:sz="6" w:space="0" w:color="D9DEE8"/>
          <w:insideH w:val="single" w:sz="6" w:space="0" w:color="D9DEE8"/>
          <w:insideV w:val="single" w:sz="6" w:space="0" w:color="D9DEE8"/>
        </w:tblBorders>
      </w:tblPr>
      <w:tblGrid>
        <w:gridCol w:w="3168"/>
        <w:gridCol w:w="3168"/>
        <w:gridCol w:w="3168"/>
      </w:tblGrid>
      <w:tr>
        <w:tc>
          <w:tcPr>
            <w:tcW w:type="dxa" w:w="2232"/>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Target component</w:t>
            </w:r>
          </w:p>
        </w:tc>
        <w:tc>
          <w:tcPr>
            <w:tcW w:type="dxa" w:w="3960"/>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Target behavior</w:t>
            </w:r>
          </w:p>
        </w:tc>
        <w:tc>
          <w:tcPr>
            <w:tcW w:type="dxa" w:w="2808"/>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Migration note</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Production server</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New server becomes the production endpoint currently represented by 10.10.10.107.</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Provision and validate before any production cutover.</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Old Chronos</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One monolithic application container deployed from release.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Add a release deployment pipeline that builds and deploys the container.</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New Chronos backend</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Backend container deployed from release.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Keep Spring production configuration explicit and environment-aware.</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New Chronos frontend</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Frontend container deployed from release.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Keep Angular production environment configuration explicit.</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Databases</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Database services run as containers on the new server.</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Restore a production backup first for validation, then perform final sync during downtime.</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Shared content</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/var/www/html/bo content remains available to both Chronos versions.</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Use Garage only if compatibility and operational effort are acceptable.</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Deployment platform</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Docker/Dokploy used as the production deployment mechanism.</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GitLab CI becomes the repeatable trigger for release branches.</w:t>
            </w:r>
          </w:p>
        </w:tc>
      </w:tr>
    </w:tbl>
    <w:p>
      <w:pPr>
        <w:spacing w:before="0" w:after="100" w:line="264" w:lineRule="auto"/>
      </w:pPr>
      <w:r>
        <w:rPr>
          <w:rFonts w:ascii="Arial" w:hAnsi="Arial"/>
          <w:b w:val="0"/>
          <w:i w:val="0"/>
          <w:color w:val="000000"/>
          <w:sz w:val="2"/>
        </w:rPr>
      </w:r>
    </w:p>
    <w:p>
      <w:pPr>
        <w:pStyle w:val="Heading1"/>
        <w:spacing w:before="280" w:after="120" w:line="264" w:lineRule="auto"/>
      </w:pPr>
      <w:r/>
      <w:r>
        <w:rPr>
          <w:rFonts w:ascii="Arial" w:hAnsi="Arial"/>
          <w:b/>
          <w:color w:val="101F82"/>
          <w:sz w:val="30"/>
        </w:rPr>
        <w:t>4. Phased Migration Plan</w:t>
      </w:r>
    </w:p>
    <w:p>
      <w:pPr>
        <w:numPr>
          <w:ilvl w:val="0"/>
          <w:numId w:val="2"/>
        </w:numPr>
        <w:spacing w:before="0" w:after="80" w:line="264" w:lineRule="auto"/>
        <w:ind w:left="720" w:hanging="360"/>
      </w:pPr>
      <w:r>
        <w:rPr>
          <w:rFonts w:ascii="Arial" w:hAnsi="Arial"/>
          <w:color w:val="000000"/>
          <w:sz w:val="21"/>
        </w:rPr>
        <w:t>Phase 1: Provision new server. Create the new production host, baseline OS access, network rules, storage, Docker, Dokploy, and monitoring/log access needed for validation.</w:t>
      </w:r>
    </w:p>
    <w:p>
      <w:pPr>
        <w:numPr>
          <w:ilvl w:val="0"/>
          <w:numId w:val="2"/>
        </w:numPr>
        <w:spacing w:before="0" w:after="80" w:line="264" w:lineRule="auto"/>
        <w:ind w:left="720" w:hanging="360"/>
      </w:pPr>
      <w:r>
        <w:rPr>
          <w:rFonts w:ascii="Arial" w:hAnsi="Arial"/>
          <w:color w:val="000000"/>
          <w:sz w:val="21"/>
        </w:rPr>
        <w:t>Phase 2: Prepare runtime services. Create containerized database services and deployment targets for Old Chronos, New Chronos backend, and New Chronos frontend.</w:t>
      </w:r>
    </w:p>
    <w:p>
      <w:pPr>
        <w:numPr>
          <w:ilvl w:val="0"/>
          <w:numId w:val="2"/>
        </w:numPr>
        <w:spacing w:before="0" w:after="80" w:line="264" w:lineRule="auto"/>
        <w:ind w:left="720" w:hanging="360"/>
      </w:pPr>
      <w:r>
        <w:rPr>
          <w:rFonts w:ascii="Arial" w:hAnsi="Arial"/>
          <w:color w:val="000000"/>
          <w:sz w:val="21"/>
        </w:rPr>
        <w:t>Phase 3: Move shared content copy. Copy /var/www/html/bo from the current production host to the new server and validate application paths and permissions.</w:t>
      </w:r>
    </w:p>
    <w:p>
      <w:pPr>
        <w:numPr>
          <w:ilvl w:val="0"/>
          <w:numId w:val="2"/>
        </w:numPr>
        <w:spacing w:before="0" w:after="80" w:line="264" w:lineRule="auto"/>
        <w:ind w:left="720" w:hanging="360"/>
      </w:pPr>
      <w:r>
        <w:rPr>
          <w:rFonts w:ascii="Arial" w:hAnsi="Arial"/>
          <w:color w:val="000000"/>
          <w:sz w:val="21"/>
        </w:rPr>
        <w:t>Phase 4: Restore production DB copy. Back up production databases from 10.10.10.107 and restore them into the containerized databases on the new server for testing.</w:t>
      </w:r>
    </w:p>
    <w:p>
      <w:pPr>
        <w:numPr>
          <w:ilvl w:val="0"/>
          <w:numId w:val="2"/>
        </w:numPr>
        <w:spacing w:before="0" w:after="80" w:line="264" w:lineRule="auto"/>
        <w:ind w:left="720" w:hanging="360"/>
      </w:pPr>
      <w:r>
        <w:rPr>
          <w:rFonts w:ascii="Arial" w:hAnsi="Arial"/>
          <w:color w:val="000000"/>
          <w:sz w:val="21"/>
        </w:rPr>
        <w:t>Phase 5: Add release CI/CD. Add GitLab CI jobs for Old Chronos and New Chronos release branches to build images and deploy through Docker/Dokploy.</w:t>
      </w:r>
    </w:p>
    <w:p>
      <w:pPr>
        <w:numPr>
          <w:ilvl w:val="0"/>
          <w:numId w:val="2"/>
        </w:numPr>
        <w:spacing w:before="0" w:after="80" w:line="264" w:lineRule="auto"/>
        <w:ind w:left="720" w:hanging="360"/>
      </w:pPr>
      <w:r>
        <w:rPr>
          <w:rFonts w:ascii="Arial" w:hAnsi="Arial"/>
          <w:color w:val="000000"/>
          <w:sz w:val="21"/>
        </w:rPr>
        <w:t>Phase 6: Validate applications. Start services on the new server against restored data, validate Old Chronos and New Chronos, verify configuration, bucket content, and database connectivity.</w:t>
      </w:r>
    </w:p>
    <w:p>
      <w:pPr>
        <w:numPr>
          <w:ilvl w:val="0"/>
          <w:numId w:val="2"/>
        </w:numPr>
        <w:spacing w:before="0" w:after="80" w:line="264" w:lineRule="auto"/>
        <w:ind w:left="720" w:hanging="360"/>
      </w:pPr>
      <w:r>
        <w:rPr>
          <w:rFonts w:ascii="Arial" w:hAnsi="Arial"/>
          <w:color w:val="000000"/>
          <w:sz w:val="21"/>
        </w:rPr>
        <w:t>Phase 7: Final cutover. Stop production writes/services, take final database backups, restore latest data on the new server, switch traffic, and perform smoke tests.</w:t>
      </w:r>
    </w:p>
    <w:p>
      <w:pPr>
        <w:numPr>
          <w:ilvl w:val="0"/>
          <w:numId w:val="2"/>
        </w:numPr>
        <w:spacing w:before="0" w:after="80" w:line="264" w:lineRule="auto"/>
        <w:ind w:left="720" w:hanging="360"/>
      </w:pPr>
      <w:r>
        <w:rPr>
          <w:rFonts w:ascii="Arial" w:hAnsi="Arial"/>
          <w:color w:val="000000"/>
          <w:sz w:val="21"/>
        </w:rPr>
        <w:t>Phase 8: Stabilize and retire old host. Keep 10.10.10.107 available for rollback during the agreed observation window, then dismiss it after validation.</w:t>
      </w:r>
    </w:p>
    <w:p>
      <w:pPr>
        <w:pStyle w:val="Heading1"/>
        <w:spacing w:before="280" w:after="120" w:line="264" w:lineRule="auto"/>
      </w:pPr>
      <w:r/>
      <w:r>
        <w:rPr>
          <w:rFonts w:ascii="Arial" w:hAnsi="Arial"/>
          <w:b/>
          <w:color w:val="101F82"/>
          <w:sz w:val="30"/>
        </w:rPr>
        <w:t>5. Impact Analysis by Phase</w:t>
      </w:r>
    </w:p>
    <w:tbl>
      <w:tblPr>
        <w:tblW w:type="dxa" w:w="9648"/>
        <w:tblLayout w:type="fixed"/>
        <w:tblLook w:firstColumn="1" w:firstRow="1" w:lastColumn="0" w:lastRow="0" w:noHBand="0" w:noVBand="1" w:val="04A0"/>
        <w:jc w:val="center"/>
        <w:tblBorders>
          <w:top w:val="single" w:sz="6" w:space="0" w:color="D9DEE8"/>
          <w:left w:val="single" w:sz="6" w:space="0" w:color="D9DEE8"/>
          <w:bottom w:val="single" w:sz="6" w:space="0" w:color="D9DEE8"/>
          <w:right w:val="single" w:sz="6" w:space="0" w:color="D9DEE8"/>
          <w:insideH w:val="single" w:sz="6" w:space="0" w:color="D9DEE8"/>
          <w:insideV w:val="single" w:sz="6" w:space="0" w:color="D9DEE8"/>
        </w:tblBorders>
      </w:tblPr>
      <w:tblGrid>
        <w:gridCol w:w="2376"/>
        <w:gridCol w:w="2376"/>
        <w:gridCol w:w="2376"/>
        <w:gridCol w:w="2376"/>
      </w:tblGrid>
      <w:tr>
        <w:tc>
          <w:tcPr>
            <w:tcW w:type="dxa" w:w="2088"/>
            <w:shd w:fill="EEF2FF"/>
            <w:tcMar>
              <w:top w:w="80" w:type="dxa"/>
              <w:start w:w="120" w:type="dxa"/>
              <w:bottom w:w="80" w:type="dxa"/>
              <w:end w:w="120" w:type="dxa"/>
            </w:tcMar>
            <w:vAlign w:val="center"/>
          </w:tcPr>
          <w:p>
            <w:pPr>
              <w:spacing w:before="0" w:after="0" w:line="252" w:lineRule="auto"/>
            </w:pPr>
            <w:r/>
            <w:r>
              <w:rPr>
                <w:rFonts w:ascii="Arial" w:hAnsi="Arial"/>
                <w:b/>
                <w:color w:val="101F82"/>
                <w:sz w:val="16"/>
              </w:rPr>
              <w:t>Phase</w:t>
            </w:r>
          </w:p>
        </w:tc>
        <w:tc>
          <w:tcPr>
            <w:tcW w:type="dxa" w:w="3096"/>
            <w:shd w:fill="EEF2FF"/>
            <w:tcMar>
              <w:top w:w="80" w:type="dxa"/>
              <w:start w:w="120" w:type="dxa"/>
              <w:bottom w:w="80" w:type="dxa"/>
              <w:end w:w="120" w:type="dxa"/>
            </w:tcMar>
            <w:vAlign w:val="center"/>
          </w:tcPr>
          <w:p>
            <w:pPr>
              <w:spacing w:before="0" w:after="0" w:line="252" w:lineRule="auto"/>
            </w:pPr>
            <w:r/>
            <w:r>
              <w:rPr>
                <w:rFonts w:ascii="Arial" w:hAnsi="Arial"/>
                <w:b/>
                <w:color w:val="101F82"/>
                <w:sz w:val="16"/>
              </w:rPr>
              <w:t>Primary impact</w:t>
            </w:r>
          </w:p>
        </w:tc>
        <w:tc>
          <w:tcPr>
            <w:tcW w:type="dxa" w:w="1944"/>
            <w:shd w:fill="EEF2FF"/>
            <w:tcMar>
              <w:top w:w="80" w:type="dxa"/>
              <w:start w:w="120" w:type="dxa"/>
              <w:bottom w:w="80" w:type="dxa"/>
              <w:end w:w="120" w:type="dxa"/>
            </w:tcMar>
            <w:vAlign w:val="center"/>
          </w:tcPr>
          <w:p>
            <w:pPr>
              <w:spacing w:before="0" w:after="0" w:line="252" w:lineRule="auto"/>
            </w:pPr>
            <w:r/>
            <w:r>
              <w:rPr>
                <w:rFonts w:ascii="Arial" w:hAnsi="Arial"/>
                <w:b/>
                <w:color w:val="101F82"/>
                <w:sz w:val="16"/>
              </w:rPr>
              <w:t>Downtime expectation</w:t>
            </w:r>
          </w:p>
        </w:tc>
        <w:tc>
          <w:tcPr>
            <w:tcW w:type="dxa" w:w="2520"/>
            <w:shd w:fill="EEF2FF"/>
            <w:tcMar>
              <w:top w:w="80" w:type="dxa"/>
              <w:start w:w="120" w:type="dxa"/>
              <w:bottom w:w="80" w:type="dxa"/>
              <w:end w:w="120" w:type="dxa"/>
            </w:tcMar>
            <w:vAlign w:val="center"/>
          </w:tcPr>
          <w:p>
            <w:pPr>
              <w:spacing w:before="0" w:after="0" w:line="252" w:lineRule="auto"/>
            </w:pPr>
            <w:r/>
            <w:r>
              <w:rPr>
                <w:rFonts w:ascii="Arial" w:hAnsi="Arial"/>
                <w:b/>
                <w:color w:val="101F82"/>
                <w:sz w:val="16"/>
              </w:rPr>
              <w:t>Control / rollback</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Provision new server</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 direct production impact. Adds a parallel target for validation.</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Delete or rebuild the new server if baseline configuration is incorrect.</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Prepare runtime services</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 direct production impact. Risks are limited to the new environment.</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Recreate containers, volumes, and Dokploy targets before cutover.</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Move shared content copy</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 production impact if performed as a copy. Risk is stale or incomplete content.</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 during initial copy.</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Repeat rsync/copy; keep current /var/www/html/bo authoritative until cutover.</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Restore production DB copy</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Read/load impact on current production during backup; testing only on new server.</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 for users if backup is online-safe.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Drop and recreate new-server database containers, then restore again.</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Add release CI/CD</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Changes deployment workflow; no user impact until pipelines are used for production.</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Disable pipeline jobs or keep manual deployment as fallback until validated.</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Validate applications</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 user-facing impact if new services are isolated from production traffic.</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Fix configuration, redeploy containers, or restore data snapshot again.</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Final cutover</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Production services and writes are paused while final data is captured and restored.</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Expected low downtime window; exact duration depends on final database backup/restore time and switch mechanics.</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Return traffic to 10.10.10.107 and restart old services if smoke tests fail before old host retirement.</w:t>
            </w:r>
          </w:p>
        </w:tc>
      </w:tr>
      <w:tr>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Stabilize and retire</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Operational observation on new server; old host remains fallback until confidence is reached.</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None unless rollback is needed.</w:t>
            </w:r>
          </w:p>
        </w:tc>
        <w:tc>
          <w:tcPr>
            <w:tcW w:type="dxa" w:w="2376"/>
            <w:tcMar>
              <w:top w:w="80" w:type="dxa"/>
              <w:start w:w="120" w:type="dxa"/>
              <w:bottom w:w="80" w:type="dxa"/>
              <w:end w:w="120" w:type="dxa"/>
            </w:tcMar>
            <w:vAlign w:val="center"/>
          </w:tcPr>
          <w:p>
            <w:pPr>
              <w:spacing w:before="0" w:after="0" w:line="252" w:lineRule="auto"/>
            </w:pPr>
            <w:r/>
            <w:r>
              <w:rPr>
                <w:rFonts w:ascii="Arial" w:hAnsi="Arial"/>
                <w:b w:val="0"/>
                <w:color w:val="000000"/>
                <w:sz w:val="16"/>
              </w:rPr>
              <w:t>Keep 10.10.10.107 intact until migration acceptance is confirmed.</w:t>
            </w:r>
          </w:p>
        </w:tc>
      </w:tr>
    </w:tbl>
    <w:p>
      <w:pPr>
        <w:spacing w:before="0" w:after="100" w:line="264" w:lineRule="auto"/>
      </w:pPr>
      <w:r>
        <w:rPr>
          <w:rFonts w:ascii="Arial" w:hAnsi="Arial"/>
          <w:b w:val="0"/>
          <w:i w:val="0"/>
          <w:color w:val="000000"/>
          <w:sz w:val="2"/>
        </w:rPr>
      </w:r>
    </w:p>
    <w:p>
      <w:pPr>
        <w:pStyle w:val="Heading1"/>
        <w:spacing w:before="280" w:after="120" w:line="264" w:lineRule="auto"/>
      </w:pPr>
      <w:r/>
      <w:r>
        <w:rPr>
          <w:rFonts w:ascii="Arial" w:hAnsi="Arial"/>
          <w:b/>
          <w:color w:val="101F82"/>
          <w:sz w:val="30"/>
        </w:rPr>
        <w:t>6. Downtime Minimization Strategy</w:t>
      </w:r>
    </w:p>
    <w:p>
      <w:pPr>
        <w:spacing w:before="0" w:after="120" w:line="264" w:lineRule="auto"/>
      </w:pPr>
      <w:r>
        <w:rPr>
          <w:rFonts w:ascii="Arial" w:hAnsi="Arial"/>
          <w:b w:val="0"/>
          <w:i w:val="0"/>
          <w:color w:val="000000"/>
          <w:sz w:val="21"/>
        </w:rPr>
        <w:t>Downtime should be limited to the final sync and traffic switch. Every activity that can be executed in parallel should happen before the maintenance window.</w:t>
      </w:r>
    </w:p>
    <w:p>
      <w:pPr>
        <w:numPr>
          <w:ilvl w:val="0"/>
          <w:numId w:val="1"/>
        </w:numPr>
        <w:spacing w:before="0" w:after="80" w:line="264" w:lineRule="auto"/>
        <w:ind w:left="720" w:hanging="360"/>
      </w:pPr>
      <w:r>
        <w:rPr>
          <w:rFonts w:ascii="Arial" w:hAnsi="Arial"/>
          <w:color w:val="000000"/>
          <w:sz w:val="21"/>
        </w:rPr>
        <w:t>Prepare the server, containers, Dokploy configuration, and release pipelines before touching production traffic.</w:t>
      </w:r>
    </w:p>
    <w:p>
      <w:pPr>
        <w:numPr>
          <w:ilvl w:val="0"/>
          <w:numId w:val="1"/>
        </w:numPr>
        <w:spacing w:before="0" w:after="80" w:line="264" w:lineRule="auto"/>
        <w:ind w:left="720" w:hanging="360"/>
      </w:pPr>
      <w:r>
        <w:rPr>
          <w:rFonts w:ascii="Arial" w:hAnsi="Arial"/>
          <w:color w:val="000000"/>
          <w:sz w:val="21"/>
        </w:rPr>
        <w:t>Restore an initial production database copy to the new server and use it for validation before the final cutover.</w:t>
      </w:r>
    </w:p>
    <w:p>
      <w:pPr>
        <w:numPr>
          <w:ilvl w:val="0"/>
          <w:numId w:val="1"/>
        </w:numPr>
        <w:spacing w:before="0" w:after="80" w:line="264" w:lineRule="auto"/>
        <w:ind w:left="720" w:hanging="360"/>
      </w:pPr>
      <w:r>
        <w:rPr>
          <w:rFonts w:ascii="Arial" w:hAnsi="Arial"/>
          <w:color w:val="000000"/>
          <w:sz w:val="21"/>
        </w:rPr>
        <w:t>Copy /var/www/html/bo ahead of time, then run a final delta sync during the cutover window.</w:t>
      </w:r>
    </w:p>
    <w:p>
      <w:pPr>
        <w:numPr>
          <w:ilvl w:val="0"/>
          <w:numId w:val="1"/>
        </w:numPr>
        <w:spacing w:before="0" w:after="80" w:line="264" w:lineRule="auto"/>
        <w:ind w:left="720" w:hanging="360"/>
      </w:pPr>
      <w:r>
        <w:rPr>
          <w:rFonts w:ascii="Arial" w:hAnsi="Arial"/>
          <w:color w:val="000000"/>
          <w:sz w:val="21"/>
        </w:rPr>
        <w:t>Use a documented smoke-test checklist for Old Chronos, New Chronos backend, New Chronos frontend, database access, and shared content access.</w:t>
      </w:r>
    </w:p>
    <w:p>
      <w:pPr>
        <w:numPr>
          <w:ilvl w:val="0"/>
          <w:numId w:val="1"/>
        </w:numPr>
        <w:spacing w:before="0" w:after="80" w:line="264" w:lineRule="auto"/>
        <w:ind w:left="720" w:hanging="360"/>
      </w:pPr>
      <w:r>
        <w:rPr>
          <w:rFonts w:ascii="Arial" w:hAnsi="Arial"/>
          <w:color w:val="000000"/>
          <w:sz w:val="21"/>
        </w:rPr>
        <w:t>Freeze production writes/services only for the final backup, restore, delta content sync, and traffic switch.</w:t>
      </w:r>
    </w:p>
    <w:p>
      <w:pPr>
        <w:numPr>
          <w:ilvl w:val="0"/>
          <w:numId w:val="1"/>
        </w:numPr>
        <w:spacing w:before="0" w:after="80" w:line="264" w:lineRule="auto"/>
        <w:ind w:left="720" w:hanging="360"/>
      </w:pPr>
      <w:r>
        <w:rPr>
          <w:rFonts w:ascii="Arial" w:hAnsi="Arial"/>
          <w:color w:val="000000"/>
          <w:sz w:val="21"/>
        </w:rPr>
        <w:t>Measure backup and restore duration during rehearsal so the final downtime window is based on observed timing, not a guess.</w:t>
      </w:r>
    </w:p>
    <w:tbl>
      <w:tblPr>
        <w:tblW w:type="dxa" w:w="8856"/>
        <w:tblLayout w:type="fixed"/>
        <w:tblLook w:firstColumn="1" w:firstRow="1" w:lastColumn="0" w:lastRow="0" w:noHBand="0" w:noVBand="1" w:val="04A0"/>
        <w:jc w:val="center"/>
        <w:tblBorders>
          <w:top w:val="single" w:sz="8" w:space="0" w:color="C9D2FF"/>
          <w:left w:val="single" w:sz="8" w:space="0" w:color="C9D2FF"/>
          <w:bottom w:val="single" w:sz="8" w:space="0" w:color="C9D2FF"/>
          <w:right w:val="single" w:sz="8" w:space="0" w:color="C9D2FF"/>
          <w:insideH w:val="single" w:sz="8" w:space="0" w:color="C9D2FF"/>
          <w:insideV w:val="single" w:sz="8" w:space="0" w:color="C9D2FF"/>
        </w:tblBorders>
      </w:tblPr>
      <w:tblGrid>
        <w:gridCol w:w="9504"/>
      </w:tblGrid>
      <w:tr>
        <w:tc>
          <w:tcPr>
            <w:tcW w:type="dxa" w:w="8856"/>
            <w:shd w:fill="F5F7FF"/>
            <w:tcMar>
              <w:top w:w="120" w:type="dxa"/>
              <w:start w:w="160" w:type="dxa"/>
              <w:bottom w:w="120" w:type="dxa"/>
              <w:end w:w="160" w:type="dxa"/>
            </w:tcMar>
          </w:tcPr>
          <w:p>
            <w:pPr>
              <w:spacing w:before="0" w:after="60" w:line="264" w:lineRule="auto"/>
            </w:pPr>
            <w:r>
              <w:rPr>
                <w:rFonts w:ascii="Arial" w:hAnsi="Arial"/>
                <w:b/>
                <w:color w:val="101F82"/>
                <w:sz w:val="21"/>
              </w:rPr>
              <w:t>Downtime boundary</w:t>
            </w:r>
          </w:p>
          <w:p>
            <w:pPr>
              <w:spacing w:before="0" w:after="0" w:line="264" w:lineRule="auto"/>
            </w:pPr>
            <w:r>
              <w:rPr>
                <w:rFonts w:ascii="Arial" w:hAnsi="Arial"/>
                <w:color w:val="000000"/>
                <w:sz w:val="20"/>
              </w:rPr>
              <w:t>The only planned production outage should start when 10.10.10.107 services are halted for the final database backup and should end after the new server passes smoke tests and receives production traffic.</w:t>
            </w:r>
          </w:p>
        </w:tc>
      </w:tr>
    </w:tbl>
    <w:p>
      <w:pPr>
        <w:spacing w:before="0" w:after="120" w:line="264" w:lineRule="auto"/>
      </w:pPr>
      <w:r>
        <w:rPr>
          <w:rFonts w:ascii="Arial" w:hAnsi="Arial"/>
          <w:b w:val="0"/>
          <w:i w:val="0"/>
          <w:color w:val="000000"/>
          <w:sz w:val="2"/>
        </w:rPr>
      </w:r>
    </w:p>
    <w:p>
      <w:pPr>
        <w:pStyle w:val="Heading1"/>
        <w:spacing w:before="280" w:after="120" w:line="264" w:lineRule="auto"/>
      </w:pPr>
      <w:r/>
      <w:r>
        <w:rPr>
          <w:rFonts w:ascii="Arial" w:hAnsi="Arial"/>
          <w:b/>
          <w:color w:val="101F82"/>
          <w:sz w:val="30"/>
        </w:rPr>
        <w:t>7. Rollback Plan</w:t>
      </w:r>
    </w:p>
    <w:p>
      <w:pPr>
        <w:spacing w:before="0" w:after="120" w:line="264" w:lineRule="auto"/>
      </w:pPr>
      <w:r>
        <w:rPr>
          <w:rFonts w:ascii="Arial" w:hAnsi="Arial"/>
          <w:b w:val="0"/>
          <w:i w:val="0"/>
          <w:color w:val="000000"/>
          <w:sz w:val="21"/>
        </w:rPr>
        <w:t>Rollback depends on preserving 10.10.10.107 unchanged until the new production server is accepted. The old host should not be dismissed immediately after cutover.</w:t>
      </w:r>
    </w:p>
    <w:tbl>
      <w:tblPr>
        <w:tblW w:type="dxa" w:w="9000"/>
        <w:tblLayout w:type="fixed"/>
        <w:tblLook w:firstColumn="1" w:firstRow="1" w:lastColumn="0" w:lastRow="0" w:noHBand="0" w:noVBand="1" w:val="04A0"/>
        <w:jc w:val="center"/>
        <w:tblBorders>
          <w:top w:val="single" w:sz="6" w:space="0" w:color="D9DEE8"/>
          <w:left w:val="single" w:sz="6" w:space="0" w:color="D9DEE8"/>
          <w:bottom w:val="single" w:sz="6" w:space="0" w:color="D9DEE8"/>
          <w:right w:val="single" w:sz="6" w:space="0" w:color="D9DEE8"/>
          <w:insideH w:val="single" w:sz="6" w:space="0" w:color="D9DEE8"/>
          <w:insideV w:val="single" w:sz="6" w:space="0" w:color="D9DEE8"/>
        </w:tblBorders>
      </w:tblPr>
      <w:tblGrid>
        <w:gridCol w:w="3168"/>
        <w:gridCol w:w="3168"/>
        <w:gridCol w:w="3168"/>
      </w:tblGrid>
      <w:tr>
        <w:tc>
          <w:tcPr>
            <w:tcW w:type="dxa" w:w="2520"/>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Rollback trigger</w:t>
            </w:r>
          </w:p>
        </w:tc>
        <w:tc>
          <w:tcPr>
            <w:tcW w:type="dxa" w:w="3528"/>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Rollback action</w:t>
            </w:r>
          </w:p>
        </w:tc>
        <w:tc>
          <w:tcPr>
            <w:tcW w:type="dxa" w:w="2951"/>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Data consideration</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New server fails smoke tests before traffic switch</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Keep production on 10.10.10.107 and continue remediation on the new server.</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No production data divergence because traffic has not moved.</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Failure immediately after traffic switch</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Switch traffic back to 10.10.10.107 and restart old production services.</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Assess whether writes occurred on the new server; reconcile or discard depending on timing and business decision.</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CI/CD deployment issue</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Disable release deployment jobs and redeploy the last known working container manually.</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No database rollback required unless deployment changed schema or data.</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Database restore inconsistency</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Stop migration, recreate new database containers, and restore from verified backups again.</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Use backup checksums/logs and schema validation before retry.</w:t>
            </w:r>
          </w:p>
        </w:tc>
      </w:tr>
      <w:tr>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Shared content mismatch</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Point applications back to copied filesystem content or repeat content sync from 10.10.10.107.</w:t>
            </w:r>
          </w:p>
        </w:tc>
        <w:tc>
          <w:tcPr>
            <w:tcW w:type="dxa" w:w="3168"/>
            <w:tcMar>
              <w:top w:w="80" w:type="dxa"/>
              <w:start w:w="120" w:type="dxa"/>
              <w:bottom w:w="80" w:type="dxa"/>
              <w:end w:w="120" w:type="dxa"/>
            </w:tcMar>
            <w:vAlign w:val="center"/>
          </w:tcPr>
          <w:p>
            <w:pPr>
              <w:spacing w:before="0" w:after="0" w:line="252" w:lineRule="auto"/>
            </w:pPr>
            <w:r/>
            <w:r>
              <w:rPr>
                <w:rFonts w:ascii="Arial" w:hAnsi="Arial"/>
                <w:b w:val="0"/>
                <w:color w:val="000000"/>
                <w:sz w:val="17"/>
              </w:rPr>
              <w:t>Avoid treating Garage as authoritative until compatibility is proven.</w:t>
            </w:r>
          </w:p>
        </w:tc>
      </w:tr>
    </w:tbl>
    <w:p>
      <w:pPr>
        <w:spacing w:before="0" w:after="100" w:line="264" w:lineRule="auto"/>
      </w:pPr>
      <w:r>
        <w:rPr>
          <w:rFonts w:ascii="Arial" w:hAnsi="Arial"/>
          <w:b w:val="0"/>
          <w:i w:val="0"/>
          <w:color w:val="000000"/>
          <w:sz w:val="2"/>
        </w:rPr>
      </w:r>
    </w:p>
    <w:p>
      <w:pPr>
        <w:pStyle w:val="Heading1"/>
        <w:spacing w:before="280" w:after="120" w:line="264" w:lineRule="auto"/>
      </w:pPr>
      <w:r/>
      <w:r>
        <w:rPr>
          <w:rFonts w:ascii="Arial" w:hAnsi="Arial"/>
          <w:b/>
          <w:color w:val="101F82"/>
          <w:sz w:val="30"/>
        </w:rPr>
        <w:t>8. Repository Strategy Discussion Points</w:t>
      </w:r>
    </w:p>
    <w:p>
      <w:pPr>
        <w:spacing w:before="0" w:after="120" w:line="264" w:lineRule="auto"/>
      </w:pPr>
      <w:r>
        <w:rPr>
          <w:rFonts w:ascii="Arial" w:hAnsi="Arial"/>
          <w:b w:val="0"/>
          <w:i w:val="0"/>
          <w:color w:val="000000"/>
          <w:sz w:val="21"/>
        </w:rPr>
        <w:t>The repository strategy should make the release process coherent across Old Chronos and New Chronos without forcing a risky repository restructure during the infrastructure migration.</w:t>
      </w:r>
    </w:p>
    <w:p>
      <w:pPr>
        <w:numPr>
          <w:ilvl w:val="0"/>
          <w:numId w:val="1"/>
        </w:numPr>
        <w:spacing w:before="0" w:after="80" w:line="264" w:lineRule="auto"/>
        <w:ind w:left="720" w:hanging="360"/>
      </w:pPr>
      <w:r>
        <w:rPr>
          <w:rFonts w:ascii="Arial" w:hAnsi="Arial"/>
          <w:color w:val="000000"/>
          <w:sz w:val="21"/>
        </w:rPr>
        <w:t>Confirm the authoritative repositories for Old Chronos, New Chronos backend, and New Chronos frontend.</w:t>
      </w:r>
    </w:p>
    <w:p>
      <w:pPr>
        <w:numPr>
          <w:ilvl w:val="0"/>
          <w:numId w:val="1"/>
        </w:numPr>
        <w:spacing w:before="0" w:after="80" w:line="264" w:lineRule="auto"/>
        <w:ind w:left="720" w:hanging="360"/>
      </w:pPr>
      <w:r>
        <w:rPr>
          <w:rFonts w:ascii="Arial" w:hAnsi="Arial"/>
          <w:color w:val="000000"/>
          <w:sz w:val="21"/>
        </w:rPr>
        <w:t>Standardize production deployments around release branches for all Chronos components.</w:t>
      </w:r>
    </w:p>
    <w:p>
      <w:pPr>
        <w:numPr>
          <w:ilvl w:val="0"/>
          <w:numId w:val="1"/>
        </w:numPr>
        <w:spacing w:before="0" w:after="80" w:line="264" w:lineRule="auto"/>
        <w:ind w:left="720" w:hanging="360"/>
      </w:pPr>
      <w:r>
        <w:rPr>
          <w:rFonts w:ascii="Arial" w:hAnsi="Arial"/>
          <w:color w:val="000000"/>
          <w:sz w:val="21"/>
        </w:rPr>
        <w:t>Keep development deployments tied to dev for Old Chronos and development for New Chronos unless the teams agree to rename or consolidate later.</w:t>
      </w:r>
    </w:p>
    <w:p>
      <w:pPr>
        <w:numPr>
          <w:ilvl w:val="0"/>
          <w:numId w:val="1"/>
        </w:numPr>
        <w:spacing w:before="0" w:after="80" w:line="264" w:lineRule="auto"/>
        <w:ind w:left="720" w:hanging="360"/>
      </w:pPr>
      <w:r>
        <w:rPr>
          <w:rFonts w:ascii="Arial" w:hAnsi="Arial"/>
          <w:color w:val="000000"/>
          <w:sz w:val="21"/>
        </w:rPr>
        <w:t>Document which branches are active and mark DA_STRRC2_AGGIUNTA_X-GRUPPO as no longer used for Old Chronos.</w:t>
      </w:r>
    </w:p>
    <w:p>
      <w:pPr>
        <w:numPr>
          <w:ilvl w:val="0"/>
          <w:numId w:val="1"/>
        </w:numPr>
        <w:spacing w:before="0" w:after="80" w:line="264" w:lineRule="auto"/>
        <w:ind w:left="720" w:hanging="360"/>
      </w:pPr>
      <w:r>
        <w:rPr>
          <w:rFonts w:ascii="Arial" w:hAnsi="Arial"/>
          <w:color w:val="000000"/>
          <w:sz w:val="21"/>
        </w:rPr>
        <w:t>Define one release pipeline pattern: build image, tag release artifact, deploy to Dokploy, run smoke checks, and retain previous image for rollback.</w:t>
      </w:r>
    </w:p>
    <w:p>
      <w:pPr>
        <w:numPr>
          <w:ilvl w:val="0"/>
          <w:numId w:val="1"/>
        </w:numPr>
        <w:spacing w:before="0" w:after="80" w:line="264" w:lineRule="auto"/>
        <w:ind w:left="720" w:hanging="360"/>
      </w:pPr>
      <w:r>
        <w:rPr>
          <w:rFonts w:ascii="Arial" w:hAnsi="Arial"/>
          <w:color w:val="000000"/>
          <w:sz w:val="21"/>
        </w:rPr>
        <w:t>Separate migration work from later configuration cleanup, especially hardcoded Old Chronos values in ApplicationConfig.java, config.js, and utils.js.</w:t>
      </w:r>
    </w:p>
    <w:p>
      <w:pPr>
        <w:numPr>
          <w:ilvl w:val="0"/>
          <w:numId w:val="1"/>
        </w:numPr>
        <w:spacing w:before="0" w:after="80" w:line="264" w:lineRule="auto"/>
        <w:ind w:left="720" w:hanging="360"/>
      </w:pPr>
      <w:r>
        <w:rPr>
          <w:rFonts w:ascii="Arial" w:hAnsi="Arial"/>
          <w:color w:val="000000"/>
          <w:sz w:val="21"/>
        </w:rPr>
        <w:t>Maintain manual deployment as a temporary fallback until release pipelines have been validated on the new server.</w:t>
      </w:r>
    </w:p>
    <w:p>
      <w:pPr>
        <w:pStyle w:val="Heading1"/>
        <w:spacing w:before="280" w:after="120" w:line="264" w:lineRule="auto"/>
      </w:pPr>
      <w:r/>
      <w:r>
        <w:rPr>
          <w:rFonts w:ascii="Arial" w:hAnsi="Arial"/>
          <w:b/>
          <w:color w:val="101F82"/>
          <w:sz w:val="30"/>
        </w:rPr>
        <w:t>9. Milestones and Acceptance Criteria</w:t>
      </w:r>
    </w:p>
    <w:tbl>
      <w:tblPr>
        <w:tblW w:type="dxa" w:w="9000"/>
        <w:tblLayout w:type="fixed"/>
        <w:tblLook w:firstColumn="1" w:firstRow="1" w:lastColumn="0" w:lastRow="0" w:noHBand="0" w:noVBand="1" w:val="04A0"/>
        <w:jc w:val="center"/>
        <w:tblBorders>
          <w:top w:val="single" w:sz="6" w:space="0" w:color="D9DEE8"/>
          <w:left w:val="single" w:sz="6" w:space="0" w:color="D9DEE8"/>
          <w:bottom w:val="single" w:sz="6" w:space="0" w:color="D9DEE8"/>
          <w:right w:val="single" w:sz="6" w:space="0" w:color="D9DEE8"/>
          <w:insideH w:val="single" w:sz="6" w:space="0" w:color="D9DEE8"/>
          <w:insideV w:val="single" w:sz="6" w:space="0" w:color="D9DEE8"/>
        </w:tblBorders>
      </w:tblPr>
      <w:tblGrid>
        <w:gridCol w:w="4752"/>
        <w:gridCol w:w="4752"/>
      </w:tblGrid>
      <w:tr>
        <w:tc>
          <w:tcPr>
            <w:tcW w:type="dxa" w:w="2880"/>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Milestone</w:t>
            </w:r>
          </w:p>
        </w:tc>
        <w:tc>
          <w:tcPr>
            <w:tcW w:type="dxa" w:w="6120"/>
            <w:shd w:fill="EEF2FF"/>
            <w:tcMar>
              <w:top w:w="80" w:type="dxa"/>
              <w:start w:w="120" w:type="dxa"/>
              <w:bottom w:w="80" w:type="dxa"/>
              <w:end w:w="120" w:type="dxa"/>
            </w:tcMar>
            <w:vAlign w:val="center"/>
          </w:tcPr>
          <w:p>
            <w:pPr>
              <w:spacing w:before="0" w:after="0" w:line="252" w:lineRule="auto"/>
            </w:pPr>
            <w:r/>
            <w:r>
              <w:rPr>
                <w:rFonts w:ascii="Arial" w:hAnsi="Arial"/>
                <w:b/>
                <w:color w:val="101F82"/>
                <w:sz w:val="17"/>
              </w:rPr>
              <w:t>Acceptance criteria</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New server ready</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Docker, Dokploy, network access, storage, and baseline security are configured.</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Database containers ready</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All required schemas can be restored and applications can connect to the restored data.</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Shared content available</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/var/www/html/bo content is present, readable, and writable as required by both Chronos versions.</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Release CI/CD ready</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Release branches can build and deploy containers to the new server without manual production steps.</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Application validation complete</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Old Chronos and New Chronos pass smoke checks on the new server using restored production data.</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Cutover complete</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Final backup and restore are completed, production traffic is switched, and smoke checks pass.</w:t>
            </w:r>
          </w:p>
        </w:tc>
      </w:tr>
      <w:tr>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Old server dismissed</w:t>
            </w:r>
          </w:p>
        </w:tc>
        <w:tc>
          <w:tcPr>
            <w:tcW w:type="dxa" w:w="4752"/>
            <w:tcMar>
              <w:top w:w="80" w:type="dxa"/>
              <w:start w:w="120" w:type="dxa"/>
              <w:bottom w:w="80" w:type="dxa"/>
              <w:end w:w="120" w:type="dxa"/>
            </w:tcMar>
            <w:vAlign w:val="center"/>
          </w:tcPr>
          <w:p>
            <w:pPr>
              <w:spacing w:before="0" w:after="0" w:line="252" w:lineRule="auto"/>
            </w:pPr>
            <w:r/>
            <w:r>
              <w:rPr>
                <w:rFonts w:ascii="Arial" w:hAnsi="Arial"/>
                <w:b w:val="0"/>
                <w:color w:val="000000"/>
                <w:sz w:val="17"/>
              </w:rPr>
              <w:t>10.10.10.107 remains available through the observation window, then is decommissioned after acceptance.</w:t>
            </w:r>
          </w:p>
        </w:tc>
      </w:tr>
    </w:tbl>
    <w:p>
      <w:pPr>
        <w:spacing w:before="0" w:after="100" w:line="264" w:lineRule="auto"/>
      </w:pPr>
      <w:r>
        <w:rPr>
          <w:rFonts w:ascii="Arial" w:hAnsi="Arial"/>
          <w:b w:val="0"/>
          <w:i w:val="0"/>
          <w:color w:val="000000"/>
          <w:sz w:val="2"/>
        </w:rPr>
      </w:r>
    </w:p>
    <w:p>
      <w:pPr>
        <w:pStyle w:val="Heading1"/>
        <w:spacing w:before="280" w:after="120" w:line="264" w:lineRule="auto"/>
      </w:pPr>
      <w:r/>
      <w:r>
        <w:rPr>
          <w:rFonts w:ascii="Arial" w:hAnsi="Arial"/>
          <w:b/>
          <w:color w:val="101F82"/>
          <w:sz w:val="30"/>
        </w:rPr>
        <w:t>10. Strategic Implications</w:t>
      </w:r>
    </w:p>
    <w:p>
      <w:pPr>
        <w:spacing w:before="0" w:after="120" w:line="264" w:lineRule="auto"/>
      </w:pPr>
      <w:r>
        <w:rPr>
          <w:rFonts w:ascii="Arial" w:hAnsi="Arial"/>
          <w:b w:val="0"/>
          <w:i w:val="0"/>
          <w:color w:val="000000"/>
          <w:sz w:val="21"/>
        </w:rPr>
        <w:t>The migration reduces dependence on a single outdated production VM and moves Chronos toward a repeatable operating model. The immediate benefit is operational: production deployment becomes more predictable, databases become easier to reproduce, and rollback becomes a planned activity rather than an improvised response.</w:t>
      </w:r>
    </w:p>
    <w:p>
      <w:pPr>
        <w:spacing w:before="0" w:after="120" w:line="264" w:lineRule="auto"/>
      </w:pPr>
      <w:r>
        <w:rPr>
          <w:rFonts w:ascii="Arial" w:hAnsi="Arial"/>
          <w:b w:val="0"/>
          <w:i w:val="0"/>
          <w:color w:val="000000"/>
          <w:sz w:val="21"/>
        </w:rPr>
        <w:t>The plan also creates a cleaner foundation for later improvements: externalized Old Chronos configuration, stronger environment separation, database backup automation, content storage governance, and eventual simplification of repository and branch conventions.</w:t>
      </w:r>
    </w:p>
    <w:sectPr>
      <w:headerReference w:type="default" r:id="rId9"/>
      <w:footerReference w:type="default" r:id="rId10"/>
      <w:pgSz w:w="12240" w:h="15840"/>
      <w:pgMar w:top="1181" w:right="1368" w:bottom="1037" w:left="1368" w:header="648" w:footer="5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90939A4" w14:textId="77777777">
      <w:r>
        <w:separator/>
      </w:r>
    </w:p>
  </w:endnote>
  <w:endnote w:type="continuationSeparator" w:id="0">
    <w:p w14:paraId="56A038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D3E6FD9-D3EA-0B48-A55F-C080D5A51BF2}"/>
    <w:embedBold r:id="rId2" w:fontKey="{DDFB625A-45BE-CE44-B15E-DF5BB7815FF7}"/>
    <w:embedItalic r:id="rId3" w:fontKey="{6119CEB5-DE25-6D4D-B2F9-50E47E40CFE1}"/>
  </w:font>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7" w:fontKey="{F3731299-A1D5-B542-9E67-1B0FA6F28CD4}"/>
  </w:font>
  <w:font w:name="Georgia">
    <w:panose1 w:val="02040502050405020303"/>
    <w:charset w:val="00"/>
    <w:family w:val="roman"/>
    <w:pitch w:val="variable"/>
    <w:sig w:usb0="00000287" w:usb1="00000000" w:usb2="00000000" w:usb3="00000000" w:csb0="0000009F" w:csb1="00000000"/>
    <w:embedItalic r:id="rId8" w:fontKey="{682841DE-6A2C-764D-8B8B-541E954AD362}"/>
  </w:font>
  <w:font w:name="Calibri">
    <w:panose1 w:val="020F0502020204030204"/>
    <w:charset w:val="00"/>
    <w:family w:val="modern"/>
    <w:pitch w:val="variable"/>
    <w:sig w:usb0="00000003" w:usb1="00000000" w:usb2="00000000" w:usb3="00000000" w:csb0="00000001" w:csb1="00000000"/>
    <w:embedRegular r:id="rId9" w:fontKey="{D4D164A4-8B83-F44E-A13B-A0908815976C}"/>
  </w:font>
  <w:font w:name="Cambria">
    <w:panose1 w:val="02040503050406030204"/>
    <w:charset w:val="00"/>
    <w:family w:val="roman"/>
    <w:notTrueType/>
    <w:pitch w:val="default"/>
    <w:embedRegular r:id="rId10" w:fontKey="{129DD48A-EFF5-1A47-8CFE-E7D5F089F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178A6B" w14:textId="77777777">
    <w:pPr>
      <w:pBdr>
        <w:top w:val="nil"/>
      </w:pBdr>
      <w:tabs>
        <w:tab w:val="right" w:pos="9360"/>
      </w:tabs>
      <w:spacing w:before="0" w:after="0" w:line="264" w:lineRule="auto"/>
      <w:jc w:val="left"/>
      <w:rPr>
        <w:color w:val="112075"/>
      </w:rPr>
    </w:pPr>
    <w:r/>
    <w:r>
      <w:rPr>
        <w:rFonts w:ascii="Arial" w:hAnsi="Arial"/>
        <w:color w:val="101F82"/>
        <w:sz w:val="16"/>
      </w:rPr>
      <w:t xml:space="preserve">Internal draft - Chronos migration execution plan - Page </w:t>
    </w:r>
    <w:r>
      <w:fldChar w:fldCharType="begin"/>
      <w:instrText xml:space="preserve"> PAGE </w:instrText>
      <w:fldChar w:fldCharType="separate"/>
      <w:t>1</w:t>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394D08F" w14:textId="77777777">
      <w:r>
        <w:separator/>
      </w:r>
    </w:p>
  </w:footnote>
  <w:footnote w:type="continuationSeparator" w:id="0">
    <w:p w14:paraId="4AF4CD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4F3B78" w14:textId="77777777">
    <w:pPr>
      <w:tabs>
        <w:tab w:val="right" w:pos="9360"/>
      </w:tabs>
      <w:spacing w:before="0" w:after="0" w:line="264" w:lineRule="auto"/>
      <w:rPr>
        <w:color w:val="1A1BAA"/>
        <w:sz w:val="16"/>
        <w:szCs w:val="16"/>
      </w:rPr>
    </w:pPr>
    <w:r/>
    <w:r>
      <w:rPr>
        <w:rFonts w:ascii="Arial" w:hAnsi="Arial"/>
        <w:color w:val="101F82"/>
        <w:sz w:val="17"/>
      </w:rPr>
      <w:t>Strategy Memo</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14:paraId="2CCD06D5" w14:textId="77777777">
      <w:tc>
        <w:tcPr>
          <w:tcW w:w="9360" w:type="dxa"/>
          <w:tcBorders>
            <w:top w:val="single" w:sz="48" w:space="0" w:color="112075"/>
            <w:left w:val="single" w:sz="8" w:space="0" w:color="FFFFFF"/>
            <w:bottom w:val="single" w:sz="8" w:space="0" w:color="FFFFFF"/>
            <w:right w:val="single" w:sz="8" w:space="0" w:color="FFFFFF"/>
          </w:tcBorders>
          <w:tcMar>
            <w:top w:w="0" w:type="dxa"/>
            <w:left w:w="0" w:type="dxa"/>
            <w:bottom w:w="0" w:type="dxa"/>
            <w:right w:w="0" w:type="dxa"/>
          </w:tcMar>
        </w:tcPr>
        <w:p w14:paraId="44A9451B" w14:textId="77777777">
          <w:pPr>
            <w:widowControl w:val="0"/>
            <w:pBdr>
              <w:top w:val="nil"/>
              <w:left w:val="nil"/>
              <w:bottom w:val="nil"/>
              <w:right w:val="nil"/>
              <w:between w:val="nil"/>
            </w:pBdr>
            <w:rPr>
              <w:color w:val="1A1BAA"/>
              <w:sz w:val="16"/>
              <w:szCs w:val="16"/>
            </w:rPr>
          </w:pPr>
        </w:p>
      </w:tc>
    </w:tr>
  </w:tbl>
  <w:p w14:paraId="508BF40B" w14:textId="77777777">
    <w:pPr>
      <w:tabs>
        <w:tab w:val="right" w:pos="9360"/>
      </w:tabs>
      <w:rPr>
        <w:b/>
        <w:bCs/>
        <w:color w:val="112075"/>
        <w:sz w:val="16"/>
        <w:szCs w:val="16"/>
      </w:rPr>
    </w:pPr>
    <w:r/>
  </w:p>
  <w:p w14:paraId="241E1B98" w14:textId="77777777">
    <w:pPr>
      <w:tabs>
        <w:tab w:val="right" w:pos="9360"/>
      </w:tabs>
      <w:rPr>
        <w:b/>
        <w:bCs/>
        <w:color w:val="2224C5"/>
        <w:sz w:val="16"/>
        <w:szCs w:val="16"/>
      </w:rPr>
    </w:pPr>
    <w:r/>
  </w:p>
  <w:p w14:paraId="321568A4" w14:textId="77777777">
    <w:pPr>
      <w:tabs>
        <w:tab w:val="right" w:pos="9360"/>
      </w:tabs>
      <w:rPr>
        <w:b/>
        <w:bCs/>
        <w:color w:val="2224C5"/>
        <w:sz w:val="16"/>
        <w:szCs w:val="16"/>
      </w:rPr>
    </w:p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7D01B79"/>
    <w:multiLevelType w:val="multilevel"/>
    <w:tmpl w:val="66202F6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A8E1372"/>
    <w:multiLevelType w:val="multilevel"/>
    <w:tmpl w:val="CAB63DA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60104273">
    <w:abstractNumId w:val="1"/>
  </w:num>
  <w:num w:numId="2" w16cid:durableId="562562021">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80917"/>
  <w15:docId w15:val="{05643887-4187-7F4D-B23A-57FBA86A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80" w:after="160"/>
      <w:outlineLvl w:val="0"/>
    </w:pPr>
    <w:rPr>
      <w:rFonts w:ascii="Helvetica Neue" w:eastAsia="Helvetica Neue" w:hAnsi="Helvetica Neue" w:cs="Helvetica Neue"/>
      <w:b/>
      <w:bCs/>
      <w:color w:val="112075"/>
      <w:sz w:val="30"/>
      <w:szCs w:val="30"/>
    </w:rPr>
  </w:style>
  <w:style w:type="paragraph" w:styleId="Heading2">
    <w:name w:val="heading 2"/>
    <w:basedOn w:val="Normal"/>
    <w:next w:val="Normal"/>
    <w:uiPriority w:val="9"/>
    <w:unhideWhenUsed/>
    <w:qFormat/>
    <w:pPr>
      <w:spacing w:before="200" w:after="100"/>
      <w:outlineLvl w:val="1"/>
    </w:pPr>
    <w:rPr>
      <w:rFonts w:ascii="Helvetica Neue" w:eastAsia="Helvetica Neue" w:hAnsi="Helvetica Neue" w:cs="Helvetica Neue"/>
      <w:b/>
      <w:bCs/>
      <w:color w:val="112075"/>
    </w:rPr>
  </w:style>
  <w:style w:type="paragraph" w:styleId="Heading3">
    <w:name w:val="heading 3"/>
    <w:basedOn w:val="Normal"/>
    <w:next w:val="Normal"/>
    <w:uiPriority w:val="9"/>
    <w:unhideWhenUsed/>
    <w:qFormat/>
    <w:pPr>
      <w:pBdr>
        <w:top w:val="nil"/>
        <w:left w:val="nil"/>
        <w:bottom w:val="nil"/>
        <w:right w:val="nil"/>
        <w:between w:val="nil"/>
      </w:pBdr>
      <w:spacing w:before="140" w:after="80"/>
      <w:outlineLvl w:val="2"/>
    </w:pPr>
    <w:rPr>
      <w:b/>
      <w:bCs/>
      <w:color w:val="40404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80" w:after="160"/>
      <w:jc w:val="center"/>
    </w:pPr>
    <w:rPr>
      <w:rFonts w:ascii="Helvetica Neue" w:eastAsia="Helvetica Neue" w:hAnsi="Helvetica Neue" w:cs="Helvetica Neue"/>
      <w:b/>
      <w:bCs/>
      <w:color w:val="112075"/>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1658</Words>
  <Characters>9454</Characters>
  <Application>Microsoft Office Word</Application>
  <DocSecurity>0</DocSecurity>
  <Lines>78</Lines>
  <Paragraphs>22</Paragraphs>
  <ScaleCrop>false</ScaleCrop>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